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</w:t>
      </w:r>
      <w:r>
        <w:rPr>
          <w:rFonts w:ascii="Times New Roman" w:hAnsi="Times New Roman"/>
          <w:sz w:val="24"/>
          <w:szCs w:val="24"/>
        </w:rPr>
        <w:t>810</w:t>
      </w:r>
      <w:r>
        <w:rPr>
          <w:rFonts w:ascii="Times New Roman" w:hAnsi="Times New Roman"/>
          <w:sz w:val="24"/>
          <w:szCs w:val="24"/>
          <w:lang w:val="sr-Cyrl-RS"/>
        </w:rPr>
        <w:t>/23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54/09, 73/10, 101/10, 101/11, 93/12, 62/13, 63/13 – </w:t>
      </w:r>
      <w:r>
        <w:rPr>
          <w:rFonts w:ascii="Times New Roman" w:hAnsi="Times New Roman"/>
          <w:sz w:val="24"/>
          <w:szCs w:val="24"/>
          <w:lang w:val="sr-Cyrl-RS"/>
        </w:rPr>
        <w:t>ispravka</w:t>
      </w:r>
      <w:r>
        <w:rPr>
          <w:rFonts w:ascii="Times New Roman" w:hAnsi="Times New Roman"/>
          <w:sz w:val="24"/>
          <w:szCs w:val="24"/>
          <w:lang w:val="sr-Cyrl-RS"/>
        </w:rPr>
        <w:t xml:space="preserve">, 108/13, 142/14, 68/15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>, 103/15, 99/16, 1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3/17, 95/18, 31/19, 72/19, 149/20, 118/21, 118/21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138/22)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Prečišćeni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razmatrao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 (2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112-810/23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saradnika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CS"/>
        </w:rPr>
        <w:t>Zapošljavanje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uslovljeno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postojanjem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odgovarajućih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pripadajućim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porezima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doprinosima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novozaposlene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konkurencije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>
        <w:rPr>
          <w:rFonts w:ascii="Times New Roman" w:hAnsi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Rešenjem</w:t>
      </w:r>
      <w:r>
        <w:rPr>
          <w:rFonts w:ascii="Times New Roman" w:hAnsi="Times New Roman"/>
          <w:sz w:val="24"/>
          <w:szCs w:val="24"/>
          <w:lang w:val="sr-Cyrl-CS"/>
        </w:rPr>
        <w:t xml:space="preserve"> 05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400-3238/2023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/>
          <w:sz w:val="24"/>
          <w:szCs w:val="24"/>
          <w:lang w:val="sr-Cyrl-CS"/>
        </w:rPr>
        <w:t>Sl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boj</w:t>
      </w:r>
      <w:r>
        <w:rPr>
          <w:rFonts w:ascii="Times New Roman" w:hAnsi="Times New Roman"/>
          <w:sz w:val="24"/>
          <w:szCs w:val="24"/>
          <w:lang w:val="sr-Cyrl-CS"/>
        </w:rPr>
        <w:t xml:space="preserve"> 29/23).</w:t>
      </w: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Ovu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odluku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dostaviti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Komisiji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zaštitu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konkurencije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dalje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postupanje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FA6" w:rsidRDefault="00A06FA6" w:rsidP="00A06FA6">
      <w:pPr>
        <w:spacing w:after="24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A06FA6" w:rsidRDefault="00A06FA6" w:rsidP="00A06FA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sr-Cyrl-RS"/>
        </w:rPr>
        <w:t>Milenko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</w:t>
      </w:r>
    </w:p>
    <w:p w:rsidR="00A06FA6" w:rsidRDefault="00A06FA6" w:rsidP="00A06FA6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06FA6" w:rsidRDefault="00A06FA6" w:rsidP="00A06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samostalni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subjekt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nezavistan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Savet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05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400-3238/2023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boj</w:t>
      </w:r>
      <w:r>
        <w:rPr>
          <w:rFonts w:ascii="Times New Roman" w:hAnsi="Times New Roman"/>
          <w:sz w:val="24"/>
          <w:szCs w:val="24"/>
          <w:lang w:val="sr-Cyrl-RS"/>
        </w:rPr>
        <w:t xml:space="preserve"> 29/23).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Dalje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06FA6" w:rsidRDefault="00A06FA6" w:rsidP="00A06F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Odredbom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umanjen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izuzev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omladinske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studentske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posredstvom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pribavljeno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06FA6" w:rsidRDefault="00A06FA6" w:rsidP="00A06FA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ceneći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pripadajućim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Rešenjem</w:t>
      </w:r>
      <w:r>
        <w:rPr>
          <w:rFonts w:ascii="Times New Roman" w:hAnsi="Times New Roman"/>
          <w:sz w:val="24"/>
          <w:szCs w:val="24"/>
          <w:lang w:val="sr-Cyrl-RS"/>
        </w:rPr>
        <w:t xml:space="preserve"> 05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400-3238/2023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(„</w:t>
      </w:r>
      <w:r>
        <w:rPr>
          <w:rFonts w:ascii="Times New Roman" w:hAnsi="Times New Roman"/>
          <w:sz w:val="24"/>
          <w:szCs w:val="24"/>
          <w:lang w:val="sr-Cyrl-CS"/>
        </w:rPr>
        <w:t>Sl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glasnik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RS</w:t>
      </w:r>
      <w:r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boj</w:t>
      </w:r>
      <w:r>
        <w:rPr>
          <w:rFonts w:ascii="Times New Roman" w:hAnsi="Times New Roman"/>
          <w:sz w:val="24"/>
          <w:szCs w:val="24"/>
          <w:lang w:val="sr-Cyrl-CS"/>
        </w:rPr>
        <w:t xml:space="preserve"> 29/23).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bookmarkEnd w:id="0"/>
    <w:p w:rsidR="00C156CC" w:rsidRDefault="00C156CC"/>
    <w:sectPr w:rsidR="00C15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A6"/>
    <w:rsid w:val="00A06FA6"/>
    <w:rsid w:val="00C1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2023-08-25T08:28:00Z</dcterms:created>
  <dcterms:modified xsi:type="dcterms:W3CDTF">2023-08-25T08:30:00Z</dcterms:modified>
</cp:coreProperties>
</file>